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28" w:rsidRPr="00D97528" w:rsidRDefault="00D97528" w:rsidP="002A45FB">
      <w:pPr>
        <w:spacing w:after="0" w:line="240" w:lineRule="auto"/>
        <w:jc w:val="center"/>
        <w:rPr>
          <w:rFonts w:ascii="Arial" w:eastAsia="Times New Roman" w:hAnsi="Arial" w:cs="Arial"/>
          <w:lang w:val="es-ES" w:eastAsia="es-ES"/>
        </w:rPr>
      </w:pPr>
    </w:p>
    <w:p w:rsidR="00D97528" w:rsidRDefault="00D97528" w:rsidP="002A45FB">
      <w:pPr>
        <w:contextualSpacing/>
        <w:jc w:val="center"/>
        <w:rPr>
          <w:rFonts w:ascii="Arial" w:eastAsia="Times New Roman" w:hAnsi="Arial" w:cs="Arial"/>
          <w:b/>
          <w:caps/>
          <w:lang w:val="es-ES" w:eastAsia="es-ES"/>
        </w:rPr>
      </w:pPr>
      <w:r w:rsidRPr="00D97528">
        <w:rPr>
          <w:rFonts w:ascii="Arial" w:eastAsia="Times New Roman" w:hAnsi="Arial" w:cs="Arial"/>
          <w:b/>
          <w:caps/>
          <w:lang w:val="es-ES" w:eastAsia="es-ES"/>
        </w:rPr>
        <w:t>Reglamento que Regula el Procedimiento Único de Recurso de Inconformid</w:t>
      </w:r>
      <w:r w:rsidR="002A45FB">
        <w:rPr>
          <w:rFonts w:ascii="Arial" w:eastAsia="Times New Roman" w:hAnsi="Arial" w:cs="Arial"/>
          <w:b/>
          <w:caps/>
          <w:lang w:val="es-ES" w:eastAsia="es-ES"/>
        </w:rPr>
        <w:t>ad en el Municipio de Monterrey</w:t>
      </w:r>
    </w:p>
    <w:p w:rsidR="002A45FB" w:rsidRPr="00D97528" w:rsidRDefault="002A45FB" w:rsidP="002A45FB">
      <w:pPr>
        <w:contextualSpacing/>
        <w:jc w:val="center"/>
        <w:rPr>
          <w:rFonts w:ascii="Arial" w:eastAsia="Times New Roman" w:hAnsi="Arial" w:cs="Arial"/>
          <w:b/>
          <w:caps/>
          <w:lang w:val="es-ES" w:eastAsia="es-ES"/>
        </w:rPr>
      </w:pPr>
      <w:bookmarkStart w:id="0" w:name="_GoBack"/>
      <w:bookmarkEnd w:id="0"/>
    </w:p>
    <w:tbl>
      <w:tblPr>
        <w:tblStyle w:val="Tablaconcuadrcula"/>
        <w:tblW w:w="0" w:type="auto"/>
        <w:tblLook w:val="04A0" w:firstRow="1" w:lastRow="0" w:firstColumn="1" w:lastColumn="0" w:noHBand="0" w:noVBand="1"/>
      </w:tblPr>
      <w:tblGrid>
        <w:gridCol w:w="4489"/>
        <w:gridCol w:w="4489"/>
      </w:tblGrid>
      <w:tr w:rsidR="00D97528" w:rsidRPr="00D97528" w:rsidTr="00F40761">
        <w:tc>
          <w:tcPr>
            <w:tcW w:w="4489" w:type="dxa"/>
          </w:tcPr>
          <w:p w:rsidR="00D97528" w:rsidRPr="00D97528" w:rsidRDefault="00D97528" w:rsidP="00D97528">
            <w:pPr>
              <w:jc w:val="center"/>
              <w:rPr>
                <w:rFonts w:ascii="Arial" w:eastAsia="Times New Roman" w:hAnsi="Arial" w:cs="Arial"/>
                <w:b/>
                <w:lang w:val="es-ES" w:eastAsia="es-ES"/>
              </w:rPr>
            </w:pPr>
            <w:r w:rsidRPr="00D97528">
              <w:rPr>
                <w:rFonts w:ascii="Arial" w:eastAsia="Times New Roman" w:hAnsi="Arial" w:cs="Arial"/>
                <w:b/>
                <w:lang w:val="es-ES" w:eastAsia="es-ES"/>
              </w:rPr>
              <w:t>DICE</w:t>
            </w:r>
          </w:p>
        </w:tc>
        <w:tc>
          <w:tcPr>
            <w:tcW w:w="4489" w:type="dxa"/>
          </w:tcPr>
          <w:p w:rsidR="00D97528" w:rsidRPr="00D97528" w:rsidRDefault="00D97528" w:rsidP="00D97528">
            <w:pPr>
              <w:jc w:val="center"/>
              <w:rPr>
                <w:rFonts w:ascii="Arial" w:eastAsia="Times New Roman" w:hAnsi="Arial" w:cs="Arial"/>
                <w:b/>
                <w:lang w:val="es-ES" w:eastAsia="es-ES"/>
              </w:rPr>
            </w:pPr>
            <w:r w:rsidRPr="00D97528">
              <w:rPr>
                <w:rFonts w:ascii="Arial" w:eastAsia="Times New Roman" w:hAnsi="Arial" w:cs="Arial"/>
                <w:b/>
                <w:lang w:val="es-ES" w:eastAsia="es-ES"/>
              </w:rPr>
              <w:t>DEBE DECIR</w:t>
            </w:r>
          </w:p>
        </w:tc>
      </w:tr>
      <w:tr w:rsidR="00D97528" w:rsidRPr="00D97528" w:rsidTr="00F40761">
        <w:trPr>
          <w:trHeight w:val="3414"/>
        </w:trPr>
        <w:tc>
          <w:tcPr>
            <w:tcW w:w="4489" w:type="dxa"/>
          </w:tcPr>
          <w:p w:rsidR="00D97528" w:rsidRPr="00D97528" w:rsidRDefault="00D97528" w:rsidP="00D97528">
            <w:pPr>
              <w:spacing w:after="160" w:line="259" w:lineRule="auto"/>
              <w:jc w:val="both"/>
              <w:rPr>
                <w:rFonts w:ascii="Arial" w:eastAsia="Calibri" w:hAnsi="Arial" w:cs="Times New Roman"/>
                <w:lang w:val="es-ES_tradnl"/>
              </w:rPr>
            </w:pPr>
          </w:p>
          <w:p w:rsidR="00D97528" w:rsidRPr="00D97528" w:rsidRDefault="00D97528" w:rsidP="00D97528">
            <w:pPr>
              <w:spacing w:after="160" w:line="259" w:lineRule="auto"/>
              <w:jc w:val="both"/>
              <w:rPr>
                <w:rFonts w:ascii="Arial" w:eastAsia="Times New Roman" w:hAnsi="Arial" w:cs="Times New Roman"/>
                <w:lang w:val="es-ES" w:eastAsia="es-ES"/>
              </w:rPr>
            </w:pPr>
            <w:r w:rsidRPr="00D97528">
              <w:rPr>
                <w:rFonts w:ascii="Arial" w:eastAsia="Times New Roman" w:hAnsi="Arial" w:cs="Times New Roman"/>
                <w:lang w:val="es-ES" w:eastAsia="es-ES"/>
              </w:rPr>
              <w:t xml:space="preserve">Artículo 4. … </w:t>
            </w:r>
          </w:p>
          <w:p w:rsidR="00D97528" w:rsidRPr="00D97528" w:rsidRDefault="00D97528" w:rsidP="00D97528">
            <w:pPr>
              <w:spacing w:after="160" w:line="259" w:lineRule="auto"/>
              <w:jc w:val="both"/>
              <w:rPr>
                <w:rFonts w:ascii="Arial" w:eastAsia="Times New Roman" w:hAnsi="Arial" w:cs="Times New Roman"/>
                <w:lang w:val="es-ES" w:eastAsia="es-ES"/>
              </w:rPr>
            </w:pPr>
            <w:proofErr w:type="gramStart"/>
            <w:r w:rsidRPr="00D97528">
              <w:rPr>
                <w:rFonts w:ascii="Arial" w:eastAsia="Times New Roman" w:hAnsi="Arial" w:cs="Times New Roman"/>
                <w:lang w:val="es-ES" w:eastAsia="es-ES"/>
              </w:rPr>
              <w:t>I.</w:t>
            </w:r>
            <w:proofErr w:type="gramEnd"/>
            <w:r w:rsidRPr="00D97528">
              <w:rPr>
                <w:rFonts w:ascii="Arial" w:eastAsia="Times New Roman" w:hAnsi="Arial" w:cs="Times New Roman"/>
                <w:lang w:val="es-ES" w:eastAsia="es-ES"/>
              </w:rPr>
              <w:t xml:space="preserve"> …</w:t>
            </w:r>
          </w:p>
          <w:p w:rsidR="00D97528" w:rsidRPr="00D97528" w:rsidRDefault="00D97528" w:rsidP="00D97528">
            <w:pPr>
              <w:spacing w:after="160" w:line="259" w:lineRule="auto"/>
              <w:jc w:val="both"/>
              <w:rPr>
                <w:rFonts w:ascii="Arial" w:eastAsia="Times New Roman" w:hAnsi="Arial" w:cs="Times New Roman"/>
                <w:lang w:val="es-ES" w:eastAsia="es-ES"/>
              </w:rPr>
            </w:pPr>
          </w:p>
          <w:p w:rsidR="00D97528" w:rsidRPr="00D97528" w:rsidRDefault="00D97528" w:rsidP="00D97528">
            <w:pPr>
              <w:spacing w:after="160" w:line="259" w:lineRule="auto"/>
              <w:jc w:val="both"/>
              <w:rPr>
                <w:rFonts w:ascii="Arial" w:eastAsia="Calibri" w:hAnsi="Arial" w:cs="Times New Roman"/>
                <w:lang w:val="es-ES_tradnl"/>
              </w:rPr>
            </w:pPr>
            <w:r w:rsidRPr="00D97528">
              <w:rPr>
                <w:rFonts w:ascii="Arial" w:eastAsia="Calibri" w:hAnsi="Arial" w:cs="Times New Roman"/>
                <w:lang w:val="es-ES_tradnl"/>
              </w:rPr>
              <w:t>II. Señalar domicilio para recibir notificaciones dentro del Municipio de Monterrey, y en su caso, a quien en su nombre las pueda oír y recibir;</w:t>
            </w: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r w:rsidRPr="00D97528">
              <w:rPr>
                <w:rFonts w:ascii="Arial" w:eastAsia="Calibri" w:hAnsi="Arial" w:cs="Times New Roman"/>
                <w:lang w:val="es-ES_tradnl"/>
              </w:rPr>
              <w:t>III. a XI. …</w:t>
            </w:r>
          </w:p>
          <w:p w:rsidR="00D97528" w:rsidRPr="00D97528" w:rsidRDefault="00D97528" w:rsidP="00D97528">
            <w:pPr>
              <w:spacing w:after="160" w:line="259" w:lineRule="auto"/>
              <w:jc w:val="both"/>
              <w:rPr>
                <w:rFonts w:ascii="Arial" w:eastAsia="Calibri" w:hAnsi="Arial" w:cs="Times New Roman"/>
                <w:lang w:val="es-ES_tradnl"/>
              </w:rPr>
            </w:pP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Times New Roman" w:hAnsi="Arial" w:cs="Arial"/>
                <w:lang w:val="es-ES" w:eastAsia="es-ES"/>
              </w:rPr>
            </w:pPr>
            <w:r w:rsidRPr="00D97528">
              <w:rPr>
                <w:rFonts w:ascii="Arial" w:eastAsia="Times New Roman" w:hAnsi="Arial" w:cs="Arial"/>
                <w:lang w:val="es-ES" w:eastAsia="es-ES"/>
              </w:rPr>
              <w:t>…</w:t>
            </w:r>
          </w:p>
        </w:tc>
        <w:tc>
          <w:tcPr>
            <w:tcW w:w="4489" w:type="dxa"/>
          </w:tcPr>
          <w:p w:rsidR="00D97528" w:rsidRPr="00D97528" w:rsidRDefault="00D97528" w:rsidP="00D97528">
            <w:pPr>
              <w:jc w:val="both"/>
              <w:rPr>
                <w:rFonts w:ascii="Arial" w:eastAsia="Helvetica" w:hAnsi="Arial" w:cs="Arial"/>
                <w:color w:val="000000"/>
                <w:bdr w:val="nil"/>
                <w:lang w:eastAsia="es-MX"/>
              </w:rPr>
            </w:pPr>
          </w:p>
          <w:p w:rsidR="00D97528" w:rsidRPr="00D97528" w:rsidRDefault="00D97528" w:rsidP="00D97528">
            <w:pPr>
              <w:spacing w:after="160" w:line="259" w:lineRule="auto"/>
              <w:jc w:val="both"/>
              <w:rPr>
                <w:rFonts w:ascii="Arial" w:eastAsia="Times New Roman" w:hAnsi="Arial" w:cs="Times New Roman"/>
                <w:lang w:val="es-ES" w:eastAsia="es-ES"/>
              </w:rPr>
            </w:pPr>
            <w:r w:rsidRPr="00D97528">
              <w:rPr>
                <w:rFonts w:ascii="Arial" w:eastAsia="Times New Roman" w:hAnsi="Arial" w:cs="Times New Roman"/>
                <w:lang w:val="es-ES" w:eastAsia="es-ES"/>
              </w:rPr>
              <w:t xml:space="preserve">Artículo 4. … </w:t>
            </w:r>
          </w:p>
          <w:p w:rsidR="00D97528" w:rsidRPr="00D97528" w:rsidRDefault="00D97528" w:rsidP="00D97528">
            <w:pPr>
              <w:spacing w:after="160" w:line="259" w:lineRule="auto"/>
              <w:jc w:val="both"/>
              <w:rPr>
                <w:rFonts w:ascii="Arial" w:eastAsia="Times New Roman" w:hAnsi="Arial" w:cs="Times New Roman"/>
                <w:lang w:val="es-ES" w:eastAsia="es-ES"/>
              </w:rPr>
            </w:pPr>
            <w:proofErr w:type="gramStart"/>
            <w:r w:rsidRPr="00D97528">
              <w:rPr>
                <w:rFonts w:ascii="Arial" w:eastAsia="Times New Roman" w:hAnsi="Arial" w:cs="Times New Roman"/>
                <w:lang w:val="es-ES" w:eastAsia="es-ES"/>
              </w:rPr>
              <w:t>I.</w:t>
            </w:r>
            <w:proofErr w:type="gramEnd"/>
            <w:r w:rsidRPr="00D97528">
              <w:rPr>
                <w:rFonts w:ascii="Arial" w:eastAsia="Times New Roman" w:hAnsi="Arial" w:cs="Times New Roman"/>
                <w:lang w:val="es-ES" w:eastAsia="es-ES"/>
              </w:rPr>
              <w:t xml:space="preserve"> …</w:t>
            </w: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 xml:space="preserve">II. Señalar domicilio para recibir notificaciones dentro del Municipio de Monterrey y, en su caso, quien en su nombre las pueda oír o recibir; </w:t>
            </w:r>
            <w:proofErr w:type="spellStart"/>
            <w:r w:rsidRPr="00D97528">
              <w:rPr>
                <w:rFonts w:ascii="Arial" w:eastAsia="Helvetica" w:hAnsi="Arial" w:cs="Arial"/>
                <w:color w:val="000000"/>
                <w:bdr w:val="nil"/>
                <w:lang w:eastAsia="es-MX"/>
              </w:rPr>
              <w:t>asi</w:t>
            </w:r>
            <w:proofErr w:type="spellEnd"/>
            <w:r w:rsidRPr="00D97528">
              <w:rPr>
                <w:rFonts w:ascii="Arial" w:eastAsia="Helvetica" w:hAnsi="Arial" w:cs="Arial"/>
                <w:color w:val="000000"/>
                <w:bdr w:val="nil"/>
                <w:lang w:eastAsia="es-MX"/>
              </w:rPr>
              <w:t xml:space="preserve"> mismo, si no tuviere domicilio dentro del Municipio de Monterrey, señalará correo electrónico para recibir notificaciones.</w:t>
            </w: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XII. Señalar si está de acuerdo o no, a que se publiquen datos personales a través de Internet o medios electrónicos respecto a las resoluciones que se ventilen ante ésta Autoridad. Por lo que ésta Dirección Jurídica substanciara la información de datos personales conforme a la Ley de Transparencia y Acceso a la Información del Estado de Nuevo León.</w:t>
            </w: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p>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w:t>
            </w:r>
          </w:p>
          <w:p w:rsidR="00D97528" w:rsidRPr="00D97528" w:rsidRDefault="00D97528" w:rsidP="00D97528">
            <w:pPr>
              <w:jc w:val="both"/>
              <w:rPr>
                <w:rFonts w:ascii="Arial" w:eastAsia="Helvetica" w:hAnsi="Arial" w:cs="Arial"/>
                <w:color w:val="000000"/>
                <w:bdr w:val="nil"/>
                <w:lang w:eastAsia="es-MX"/>
              </w:rPr>
            </w:pPr>
          </w:p>
        </w:tc>
      </w:tr>
      <w:tr w:rsidR="00D97528" w:rsidRPr="00D97528" w:rsidTr="00F40761">
        <w:trPr>
          <w:trHeight w:val="1906"/>
        </w:trPr>
        <w:tc>
          <w:tcPr>
            <w:tcW w:w="4489" w:type="dxa"/>
          </w:tcPr>
          <w:p w:rsidR="00D97528" w:rsidRPr="00D97528" w:rsidRDefault="00D97528" w:rsidP="00D97528">
            <w:pPr>
              <w:spacing w:after="160" w:line="259" w:lineRule="auto"/>
              <w:jc w:val="both"/>
              <w:rPr>
                <w:rFonts w:ascii="Arial" w:eastAsia="Calibri" w:hAnsi="Arial" w:cs="Times New Roman"/>
                <w:lang w:val="es-ES_tradnl"/>
              </w:rPr>
            </w:pPr>
          </w:p>
          <w:p w:rsidR="00D97528" w:rsidRPr="00D97528" w:rsidRDefault="00D97528" w:rsidP="00D97528">
            <w:pPr>
              <w:spacing w:after="160" w:line="259" w:lineRule="auto"/>
              <w:jc w:val="both"/>
              <w:rPr>
                <w:rFonts w:ascii="Arial" w:eastAsia="Calibri" w:hAnsi="Arial" w:cs="Times New Roman"/>
                <w:lang w:val="es-ES_tradnl"/>
              </w:rPr>
            </w:pPr>
            <w:r w:rsidRPr="00D97528">
              <w:rPr>
                <w:rFonts w:ascii="Arial" w:eastAsia="Calibri" w:hAnsi="Arial" w:cs="Times New Roman"/>
                <w:lang w:val="es-ES_tradnl"/>
              </w:rPr>
              <w:t>Artículo 6. …</w:t>
            </w:r>
          </w:p>
          <w:p w:rsidR="00D97528" w:rsidRPr="00D97528" w:rsidRDefault="00D97528" w:rsidP="00D97528">
            <w:pPr>
              <w:spacing w:after="160" w:line="259" w:lineRule="auto"/>
              <w:jc w:val="both"/>
              <w:rPr>
                <w:rFonts w:ascii="Arial" w:eastAsia="Calibri" w:hAnsi="Arial" w:cs="Times New Roman"/>
                <w:lang w:val="es-ES_tradnl"/>
              </w:rPr>
            </w:pPr>
            <w:r w:rsidRPr="00D97528">
              <w:rPr>
                <w:rFonts w:ascii="Arial" w:eastAsia="Calibri" w:hAnsi="Arial" w:cs="Times New Roman"/>
                <w:lang w:val="es-ES_tradnl"/>
              </w:rPr>
              <w:t>I. a VI. …</w:t>
            </w:r>
          </w:p>
          <w:p w:rsidR="00D97528" w:rsidRPr="00D97528" w:rsidRDefault="00D97528" w:rsidP="00D97528">
            <w:pPr>
              <w:spacing w:after="160" w:line="259" w:lineRule="auto"/>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r w:rsidRPr="00D97528">
              <w:rPr>
                <w:rFonts w:ascii="Arial" w:eastAsia="Calibri" w:hAnsi="Arial" w:cs="Times New Roman"/>
                <w:lang w:val="es-ES_tradnl"/>
              </w:rPr>
              <w:t xml:space="preserve">Si el recurrente o tercero perjudicado no señalan domicilio dentro del Municipio de Monterrey, las notificaciones se efectuarán por lista de acuerdos que se fijará en la Dirección Jurídica de la Secretaría del Republicano Ayuntamiento del Municipio de Monterrey. </w:t>
            </w:r>
          </w:p>
          <w:p w:rsidR="00D97528" w:rsidRPr="00D97528" w:rsidRDefault="00D97528" w:rsidP="00D97528">
            <w:pPr>
              <w:jc w:val="both"/>
              <w:rPr>
                <w:rFonts w:ascii="Arial" w:eastAsia="Times New Roman" w:hAnsi="Arial" w:cs="Arial"/>
                <w:lang w:val="es-ES" w:eastAsia="es-ES"/>
              </w:rPr>
            </w:pPr>
          </w:p>
          <w:p w:rsidR="00D97528" w:rsidRPr="00D97528" w:rsidRDefault="00D97528" w:rsidP="00D97528">
            <w:pPr>
              <w:jc w:val="both"/>
              <w:rPr>
                <w:rFonts w:ascii="Arial" w:eastAsia="Calibri" w:hAnsi="Arial" w:cs="Times New Roman"/>
                <w:lang w:val="es-ES_tradnl"/>
              </w:rPr>
            </w:pPr>
            <w:r w:rsidRPr="00D97528">
              <w:rPr>
                <w:rFonts w:ascii="Arial" w:eastAsia="Times New Roman" w:hAnsi="Arial" w:cs="Arial"/>
                <w:lang w:val="es-ES" w:eastAsia="es-ES"/>
              </w:rPr>
              <w:t>…</w:t>
            </w:r>
          </w:p>
        </w:tc>
        <w:tc>
          <w:tcPr>
            <w:tcW w:w="4489" w:type="dxa"/>
          </w:tcPr>
          <w:p w:rsidR="00D97528" w:rsidRPr="00D97528" w:rsidRDefault="00D97528" w:rsidP="00D97528">
            <w:pPr>
              <w:pBdr>
                <w:top w:val="nil"/>
                <w:left w:val="nil"/>
                <w:bottom w:val="nil"/>
                <w:right w:val="nil"/>
                <w:between w:val="nil"/>
                <w:bar w:val="nil"/>
              </w:pBdr>
              <w:jc w:val="both"/>
              <w:rPr>
                <w:rFonts w:ascii="Arial" w:eastAsia="Helvetica" w:hAnsi="Arial" w:cs="Arial"/>
                <w:color w:val="000000"/>
                <w:bdr w:val="nil"/>
                <w:lang w:eastAsia="es-MX"/>
              </w:rPr>
            </w:pPr>
          </w:p>
          <w:p w:rsidR="00D97528" w:rsidRPr="00D97528" w:rsidRDefault="00D97528" w:rsidP="00D97528">
            <w:pPr>
              <w:spacing w:after="160" w:line="259" w:lineRule="auto"/>
              <w:jc w:val="both"/>
              <w:rPr>
                <w:rFonts w:ascii="Arial" w:eastAsia="Calibri" w:hAnsi="Arial" w:cs="Times New Roman"/>
                <w:lang w:val="es-ES_tradnl"/>
              </w:rPr>
            </w:pPr>
            <w:r w:rsidRPr="00D97528">
              <w:rPr>
                <w:rFonts w:ascii="Arial" w:eastAsia="Calibri" w:hAnsi="Arial" w:cs="Times New Roman"/>
                <w:lang w:val="es-ES_tradnl"/>
              </w:rPr>
              <w:t>Artículo 6. …</w:t>
            </w:r>
          </w:p>
          <w:p w:rsidR="00D97528" w:rsidRPr="00D97528" w:rsidRDefault="00D97528" w:rsidP="00D97528">
            <w:pPr>
              <w:spacing w:after="160" w:line="259" w:lineRule="auto"/>
              <w:jc w:val="both"/>
              <w:rPr>
                <w:rFonts w:ascii="Arial" w:eastAsia="Calibri" w:hAnsi="Arial" w:cs="Times New Roman"/>
                <w:lang w:val="es-ES_tradnl"/>
              </w:rPr>
            </w:pPr>
            <w:r w:rsidRPr="00D97528">
              <w:rPr>
                <w:rFonts w:ascii="Arial" w:eastAsia="Calibri" w:hAnsi="Arial" w:cs="Times New Roman"/>
                <w:lang w:val="es-ES_tradnl"/>
              </w:rPr>
              <w:t>I. a VI. …</w:t>
            </w:r>
          </w:p>
          <w:p w:rsidR="00D97528" w:rsidRPr="00D97528" w:rsidRDefault="00D97528" w:rsidP="00D97528">
            <w:pPr>
              <w:spacing w:after="160" w:line="259" w:lineRule="auto"/>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r w:rsidRPr="00D97528">
              <w:rPr>
                <w:rFonts w:ascii="Arial" w:eastAsia="Calibri" w:hAnsi="Arial" w:cs="Times New Roman"/>
                <w:lang w:val="es-ES_tradnl"/>
              </w:rPr>
              <w:t xml:space="preserve">Si el recurrente o tercero perjudicado no señala domicilio dentro del Municipio de Monterrey, las notificaciones se harán mediante correo electrónico. </w:t>
            </w: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jc w:val="both"/>
              <w:rPr>
                <w:rFonts w:ascii="Arial" w:eastAsia="Calibri" w:hAnsi="Arial" w:cs="Times New Roman"/>
                <w:lang w:val="es-ES_tradnl"/>
              </w:rPr>
            </w:pPr>
          </w:p>
          <w:p w:rsidR="00D97528" w:rsidRPr="00D97528" w:rsidRDefault="00D97528" w:rsidP="00D97528">
            <w:pPr>
              <w:spacing w:after="160" w:line="259" w:lineRule="auto"/>
              <w:jc w:val="both"/>
              <w:rPr>
                <w:rFonts w:ascii="Arial" w:eastAsia="Times New Roman" w:hAnsi="Arial" w:cs="Arial"/>
                <w:lang w:val="es-ES" w:eastAsia="es-ES"/>
              </w:rPr>
            </w:pPr>
            <w:r w:rsidRPr="00D97528">
              <w:rPr>
                <w:rFonts w:ascii="Arial" w:eastAsia="Times New Roman" w:hAnsi="Arial" w:cs="Arial"/>
                <w:lang w:val="es-ES" w:eastAsia="es-ES"/>
              </w:rPr>
              <w:t>…</w:t>
            </w:r>
          </w:p>
        </w:tc>
      </w:tr>
      <w:tr w:rsidR="00D97528" w:rsidRPr="00D97528" w:rsidTr="00F40761">
        <w:trPr>
          <w:trHeight w:val="1173"/>
        </w:trPr>
        <w:tc>
          <w:tcPr>
            <w:tcW w:w="4489" w:type="dxa"/>
          </w:tcPr>
          <w:p w:rsidR="00D97528" w:rsidRPr="00D97528" w:rsidRDefault="00D97528" w:rsidP="00D97528">
            <w:pPr>
              <w:jc w:val="both"/>
              <w:rPr>
                <w:rFonts w:ascii="Arial" w:eastAsia="Times New Roman" w:hAnsi="Arial" w:cs="Arial"/>
                <w:lang w:val="es-ES" w:eastAsia="es-ES"/>
              </w:rPr>
            </w:pPr>
          </w:p>
        </w:tc>
        <w:tc>
          <w:tcPr>
            <w:tcW w:w="4489" w:type="dxa"/>
          </w:tcPr>
          <w:p w:rsidR="00D97528" w:rsidRPr="00D97528" w:rsidRDefault="00D97528" w:rsidP="00D97528">
            <w:pPr>
              <w:jc w:val="both"/>
              <w:rPr>
                <w:rFonts w:ascii="Arial" w:eastAsia="Helvetica" w:hAnsi="Arial" w:cs="Arial"/>
                <w:color w:val="000000"/>
                <w:bdr w:val="nil"/>
                <w:lang w:eastAsia="es-MX"/>
              </w:rPr>
            </w:pPr>
          </w:p>
          <w:p w:rsidR="00D97528" w:rsidRPr="00D97528" w:rsidRDefault="00D97528" w:rsidP="00D97528">
            <w:pP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CAPÍTULO IX</w:t>
            </w:r>
          </w:p>
          <w:p w:rsidR="00D97528" w:rsidRPr="00D97528" w:rsidRDefault="00D97528" w:rsidP="00D97528">
            <w:pP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DEL PROCEDIMIENTO DE REVISIÓN Y CONSULTA</w:t>
            </w:r>
          </w:p>
          <w:p w:rsidR="00D97528" w:rsidRPr="00D97528" w:rsidRDefault="00D97528" w:rsidP="00D97528">
            <w:pPr>
              <w:jc w:val="both"/>
              <w:rPr>
                <w:rFonts w:ascii="Arial" w:eastAsia="Helvetica" w:hAnsi="Arial" w:cs="Arial"/>
                <w:color w:val="000000"/>
                <w:bdr w:val="nil"/>
                <w:lang w:eastAsia="es-MX"/>
              </w:rPr>
            </w:pPr>
          </w:p>
          <w:p w:rsidR="00D97528" w:rsidRPr="00D97528" w:rsidRDefault="00D97528" w:rsidP="00D97528">
            <w:pPr>
              <w:jc w:val="both"/>
              <w:rPr>
                <w:rFonts w:ascii="Arial" w:eastAsia="Helvetica" w:hAnsi="Arial" w:cs="Arial"/>
                <w:color w:val="000000"/>
                <w:bdr w:val="nil"/>
                <w:lang w:eastAsia="es-MX"/>
              </w:rPr>
            </w:pPr>
            <w:r w:rsidRPr="00D97528">
              <w:rPr>
                <w:rFonts w:ascii="Arial" w:eastAsia="Helvetica" w:hAnsi="Arial" w:cs="Arial"/>
                <w:color w:val="000000"/>
                <w:bdr w:val="nil"/>
                <w:lang w:eastAsia="es-MX"/>
              </w:rPr>
              <w:t>Artículo 37. Para la revisión y consulta del presente Reglamento la comunidad podrá hacer llegar sus opiniones y observaciones por escrito a la Comisión de Gobernación, Reglamentación y Mejora Regulatoria, la cual recibirá y atenderá cualquier sugerencia que sea presentada por la ciudadanía. El promovente deberá argumentar en el escrito de referencia las razones que sustenten sus opiniones y observaciones con respecto al Reglamento Municipal.</w:t>
            </w:r>
          </w:p>
          <w:p w:rsidR="00D97528" w:rsidRPr="00D97528" w:rsidRDefault="00D97528" w:rsidP="00D97528">
            <w:pPr>
              <w:jc w:val="both"/>
              <w:rPr>
                <w:rFonts w:ascii="Arial" w:eastAsia="Helvetica" w:hAnsi="Arial" w:cs="Arial"/>
                <w:color w:val="000000"/>
                <w:bdr w:val="nil"/>
                <w:lang w:eastAsia="es-MX"/>
              </w:rPr>
            </w:pPr>
          </w:p>
          <w:p w:rsidR="00D97528" w:rsidRPr="00D97528" w:rsidRDefault="00D97528" w:rsidP="00D97528">
            <w:pPr>
              <w:jc w:val="both"/>
              <w:rPr>
                <w:rFonts w:ascii="Arial" w:eastAsia="Times New Roman" w:hAnsi="Arial" w:cs="Arial"/>
                <w:lang w:val="es-ES" w:eastAsia="es-ES"/>
              </w:rPr>
            </w:pPr>
            <w:r w:rsidRPr="00D97528">
              <w:rPr>
                <w:rFonts w:ascii="Arial" w:eastAsia="Times New Roman" w:hAnsi="Arial" w:cs="Arial"/>
                <w:lang w:val="es-ES" w:eastAsia="es-ES"/>
              </w:rPr>
              <w:t>Artículo 38. 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D97528" w:rsidRPr="00D97528" w:rsidRDefault="00D97528" w:rsidP="00D97528">
            <w:pPr>
              <w:jc w:val="both"/>
              <w:rPr>
                <w:rFonts w:ascii="Arial" w:eastAsia="Times New Roman" w:hAnsi="Arial" w:cs="Arial"/>
                <w:lang w:val="es-ES" w:eastAsia="es-ES"/>
              </w:rPr>
            </w:pPr>
          </w:p>
        </w:tc>
      </w:tr>
      <w:tr w:rsidR="00D97528" w:rsidRPr="00D97528" w:rsidTr="00F40761">
        <w:trPr>
          <w:trHeight w:val="1217"/>
        </w:trPr>
        <w:tc>
          <w:tcPr>
            <w:tcW w:w="8978" w:type="dxa"/>
            <w:gridSpan w:val="2"/>
            <w:tcBorders>
              <w:bottom w:val="single" w:sz="4" w:space="0" w:color="auto"/>
            </w:tcBorders>
          </w:tcPr>
          <w:p w:rsidR="00D97528" w:rsidRPr="00D97528" w:rsidRDefault="00D97528" w:rsidP="00D97528">
            <w:pPr>
              <w:jc w:val="center"/>
              <w:rPr>
                <w:rFonts w:ascii="Arial" w:eastAsia="Helvetica" w:hAnsi="Arial" w:cs="Arial"/>
                <w:b/>
                <w:color w:val="000000"/>
                <w:bdr w:val="nil"/>
                <w:lang w:eastAsia="es-MX"/>
              </w:rPr>
            </w:pPr>
          </w:p>
          <w:p w:rsidR="00D97528" w:rsidRPr="00D97528" w:rsidRDefault="00D97528" w:rsidP="00D97528">
            <w:pPr>
              <w:jc w:val="center"/>
              <w:rPr>
                <w:rFonts w:ascii="Arial" w:eastAsia="Helvetica" w:hAnsi="Arial" w:cs="Arial"/>
                <w:b/>
                <w:color w:val="000000"/>
                <w:bdr w:val="nil"/>
                <w:lang w:eastAsia="es-MX"/>
              </w:rPr>
            </w:pPr>
            <w:r w:rsidRPr="00D97528">
              <w:rPr>
                <w:rFonts w:ascii="Arial" w:eastAsia="Helvetica" w:hAnsi="Arial" w:cs="Arial"/>
                <w:b/>
                <w:color w:val="000000"/>
                <w:bdr w:val="nil"/>
                <w:lang w:eastAsia="es-MX"/>
              </w:rPr>
              <w:t>TRANSITORIO</w:t>
            </w:r>
          </w:p>
          <w:p w:rsidR="00D97528" w:rsidRPr="00D97528" w:rsidRDefault="00D97528" w:rsidP="00D97528">
            <w:pPr>
              <w:jc w:val="center"/>
              <w:rPr>
                <w:rFonts w:ascii="Arial" w:eastAsia="Helvetica" w:hAnsi="Arial" w:cs="Arial"/>
                <w:b/>
                <w:color w:val="000000"/>
                <w:bdr w:val="nil"/>
                <w:lang w:eastAsia="es-MX"/>
              </w:rPr>
            </w:pPr>
          </w:p>
          <w:p w:rsidR="00D97528" w:rsidRPr="00D97528" w:rsidRDefault="00D97528" w:rsidP="00D97528">
            <w:pPr>
              <w:jc w:val="both"/>
              <w:rPr>
                <w:rFonts w:ascii="Arial" w:eastAsia="Times New Roman" w:hAnsi="Arial" w:cs="Arial"/>
                <w:b/>
                <w:lang w:val="es-ES" w:eastAsia="es-ES"/>
              </w:rPr>
            </w:pPr>
            <w:r w:rsidRPr="00D97528">
              <w:rPr>
                <w:rFonts w:ascii="Arial" w:eastAsia="Times New Roman" w:hAnsi="Arial" w:cs="Times New Roman"/>
                <w:lang w:val="es-ES" w:eastAsia="es-ES"/>
              </w:rPr>
              <w:t>ÚNICO. Las presentes reformas entrarán en vigor a partir de su publicación en el Periódico Oficial del Estado.</w:t>
            </w:r>
          </w:p>
        </w:tc>
      </w:tr>
    </w:tbl>
    <w:p w:rsidR="00D97528" w:rsidRPr="00D97528" w:rsidRDefault="00D97528" w:rsidP="00D97528">
      <w:pPr>
        <w:spacing w:after="0" w:line="240" w:lineRule="auto"/>
        <w:jc w:val="both"/>
        <w:rPr>
          <w:rFonts w:ascii="Arial" w:eastAsia="Times New Roman" w:hAnsi="Arial" w:cs="Arial"/>
          <w:b/>
          <w:color w:val="000000"/>
          <w:lang w:val="es-ES" w:eastAsia="es-MX"/>
        </w:rPr>
      </w:pPr>
    </w:p>
    <w:p w:rsidR="005446D0" w:rsidRPr="00D97528" w:rsidRDefault="005446D0">
      <w:pPr>
        <w:rPr>
          <w:lang w:val="es-ES"/>
        </w:rPr>
      </w:pPr>
    </w:p>
    <w:sectPr w:rsidR="005446D0" w:rsidRPr="00D97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28"/>
    <w:rsid w:val="002A45FB"/>
    <w:rsid w:val="005446D0"/>
    <w:rsid w:val="00D97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Heberto Isidro Ramos Gonzalez</dc:creator>
  <cp:lastModifiedBy>Gloria Yolanda Garza de León</cp:lastModifiedBy>
  <cp:revision>2</cp:revision>
  <dcterms:created xsi:type="dcterms:W3CDTF">2016-02-15T17:15:00Z</dcterms:created>
  <dcterms:modified xsi:type="dcterms:W3CDTF">2016-02-15T18:11:00Z</dcterms:modified>
</cp:coreProperties>
</file>